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B6" w:rsidRDefault="003E7AB6" w:rsidP="003E7AB6">
      <w:pPr>
        <w:ind w:left="3540" w:firstLine="708"/>
      </w:pPr>
      <w:r>
        <w:t>ПАСПОРТ АВР 100А  380</w:t>
      </w:r>
      <w:proofErr w:type="gramStart"/>
      <w:r>
        <w:t xml:space="preserve"> В</w:t>
      </w:r>
      <w:proofErr w:type="gramEnd"/>
    </w:p>
    <w:p w:rsidR="003E7AB6" w:rsidRDefault="003E7AB6" w:rsidP="003E7AB6">
      <w:r>
        <w:t xml:space="preserve">Устройство Автоматического Ввода Резерва (АВР) предназначено для установки на объектах особой группы </w:t>
      </w:r>
      <w:proofErr w:type="spellStart"/>
      <w:r>
        <w:t>электроприёмников</w:t>
      </w:r>
      <w:proofErr w:type="spellEnd"/>
      <w:r>
        <w:t xml:space="preserve"> I категории, бесперебойная работа которых необходима для безаварийного энергоснабжения производственных, коммунально-бытовых, банковских и других объектов энергопотребления. Электропитание потребителей АВР происходит в обычном режиме от первого ввода. Постоянный контроль наличия напряжения (наличие и последовательность фаз) осуществляется только в цепях основного источника питания АВР. В случае пропадания напряжения на основном вводе, АВР производит автоматическое переключение на второй ввод. Реверсивная электромеханическая блокировка контакторов (пускателей) АВР не позволяет одновременное их включение и позволяет избежать короткого замыкания фаз с разными потенциалами. Осуществляется световая индикация режима работы каждого ввода АВР. При восстановлении напряжения на первом вводе происходит автоматический возврат на основной ввод. Номинальный режим работы АВР как основного, так и резервного ввода – продолжительный.</w:t>
      </w:r>
    </w:p>
    <w:p w:rsidR="003E7AB6" w:rsidRDefault="003E7AB6" w:rsidP="003E7AB6"/>
    <w:p w:rsidR="003E7AB6" w:rsidRDefault="003E7AB6" w:rsidP="003E7AB6">
      <w:r>
        <w:t>Данный вариант АВР комплектуется автоматикой производства ИЭК.</w:t>
      </w:r>
    </w:p>
    <w:p w:rsidR="003E7AB6" w:rsidRDefault="003E7AB6" w:rsidP="003E7AB6"/>
    <w:p w:rsidR="003E7AB6" w:rsidRDefault="003E7AB6" w:rsidP="003E7AB6">
      <w:r>
        <w:t>Соответствует стандарту:</w:t>
      </w:r>
    </w:p>
    <w:p w:rsidR="003E7AB6" w:rsidRDefault="003E7AB6" w:rsidP="003E7AB6">
      <w:r>
        <w:t xml:space="preserve">ГОСТ </w:t>
      </w:r>
      <w:proofErr w:type="gramStart"/>
      <w:r>
        <w:t>Р</w:t>
      </w:r>
      <w:proofErr w:type="gramEnd"/>
      <w:r>
        <w:t xml:space="preserve"> 51321.1-2000(МЭК 60439-1-92) – «Устройства комплектные низковольтные распределения и управления (Часть №1)»</w:t>
      </w:r>
    </w:p>
    <w:p w:rsidR="003E7AB6" w:rsidRDefault="003E7AB6" w:rsidP="003E7AB6">
      <w:r>
        <w:t xml:space="preserve">ГОСТ </w:t>
      </w:r>
      <w:proofErr w:type="gramStart"/>
      <w:r>
        <w:t>Р</w:t>
      </w:r>
      <w:proofErr w:type="gramEnd"/>
      <w:r>
        <w:t xml:space="preserve"> 51778-2001 – «Щитки распределительные для производственных и общественных зданий»</w:t>
      </w:r>
    </w:p>
    <w:p w:rsidR="003E7AB6" w:rsidRDefault="003E7AB6" w:rsidP="003E7AB6">
      <w:r>
        <w:t xml:space="preserve">ГОСТ </w:t>
      </w:r>
      <w:proofErr w:type="gramStart"/>
      <w:r>
        <w:t>Р</w:t>
      </w:r>
      <w:proofErr w:type="gramEnd"/>
      <w:r>
        <w:t xml:space="preserve"> 50571.10-96 (МЭК 364-5-54-80) – «Заземляющие устройства и защитные проводники»</w:t>
      </w:r>
    </w:p>
    <w:p w:rsidR="003E7AB6" w:rsidRDefault="003E7AB6" w:rsidP="003E7AB6">
      <w:r>
        <w:t>Диэлектрические свойства низковольтной комплексной установки АВР соответствует требованиям ГОСТ P 51732-2001 проверочное напряжение 1500В</w:t>
      </w:r>
    </w:p>
    <w:p w:rsidR="003E7AB6" w:rsidRDefault="003E7AB6" w:rsidP="003E7AB6">
      <w:r>
        <w:t>Контроль наличия напряжения (наличие и последовательность фаз) осуществляется только в цепях основного источника питания АВР.</w:t>
      </w:r>
    </w:p>
    <w:p w:rsidR="003E7AB6" w:rsidRDefault="003E7AB6" w:rsidP="003E7AB6">
      <w:r>
        <w:t>Время переключения АВР менее 1 секунды</w:t>
      </w:r>
    </w:p>
    <w:p w:rsidR="003E7AB6" w:rsidRDefault="003E7AB6" w:rsidP="003E7AB6">
      <w:r>
        <w:t>Световая индикация работающего в данный момент ввода (ВВОД 1 или ВВОД 2)</w:t>
      </w:r>
    </w:p>
    <w:p w:rsidR="003E7AB6" w:rsidRDefault="003E7AB6" w:rsidP="003E7AB6">
      <w:r>
        <w:t>Напряжение питание основного и резервного ввода АВР 380В</w:t>
      </w:r>
    </w:p>
    <w:p w:rsidR="003E7AB6" w:rsidRDefault="003E7AB6" w:rsidP="003E7AB6">
      <w:r>
        <w:t>Частота – 50Гц</w:t>
      </w:r>
    </w:p>
    <w:p w:rsidR="003E7AB6" w:rsidRDefault="003E7AB6" w:rsidP="003E7AB6">
      <w:r>
        <w:t>Класс защиты: IP 31</w:t>
      </w:r>
    </w:p>
    <w:p w:rsidR="003E7AB6" w:rsidRDefault="003E7AB6" w:rsidP="003E7AB6">
      <w:r>
        <w:t>Тип корпуса АВР: металлический, окрашен порошково-полимерным композитом, цвет серый, производство Россия</w:t>
      </w:r>
    </w:p>
    <w:p w:rsidR="003E7AB6" w:rsidRDefault="003E7AB6" w:rsidP="003E7AB6">
      <w:r>
        <w:t>Стабильность размеров в рабочих условиях: от – 20до + 85</w:t>
      </w:r>
    </w:p>
    <w:p w:rsidR="00B76486" w:rsidRDefault="003E7AB6" w:rsidP="003E7AB6">
      <w:r>
        <w:t>Область применения АВР: промышленные предприятия, административные здания</w:t>
      </w:r>
    </w:p>
    <w:p w:rsidR="00930A5A" w:rsidRPr="00930A5A" w:rsidRDefault="00930A5A" w:rsidP="003E7AB6">
      <w:pPr>
        <w:rPr>
          <w:lang w:val="en-US"/>
        </w:rPr>
      </w:pPr>
      <w:r>
        <w:t>ДАТА производства</w:t>
      </w:r>
      <w:r>
        <w:rPr>
          <w:lang w:val="en-US"/>
        </w:rPr>
        <w:t xml:space="preserve">:                                                                                         </w:t>
      </w:r>
      <w:r>
        <w:t>ШТАМП ОТК</w:t>
      </w:r>
      <w:r>
        <w:rPr>
          <w:lang w:val="en-US"/>
        </w:rPr>
        <w:t>:</w:t>
      </w:r>
    </w:p>
    <w:p w:rsidR="003E7AB6" w:rsidRDefault="003E7AB6" w:rsidP="003E7AB6">
      <w:r>
        <w:rPr>
          <w:noProof/>
          <w:lang w:eastAsia="ru-RU"/>
        </w:rPr>
        <w:lastRenderedPageBreak/>
        <w:drawing>
          <wp:inline distT="0" distB="0" distL="0" distR="0">
            <wp:extent cx="5940425" cy="44061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AB6" w:rsidSect="00930A5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7AB6"/>
    <w:rsid w:val="003E7AB6"/>
    <w:rsid w:val="00930A5A"/>
    <w:rsid w:val="00B7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Company>ИП Квасов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2012-07-09T05:30:00Z</dcterms:created>
  <dcterms:modified xsi:type="dcterms:W3CDTF">2012-07-09T05:30:00Z</dcterms:modified>
</cp:coreProperties>
</file>